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การรับแจ้งการตายเกินกำหนด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8C1F83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เจ้าบ้านของบ้านที่มีการตาย บุคคลที่ไปกับผู้ตายขณะตาย ผู้พบศพ หรือผู้ซึ่งได้รับมอบหมาย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ระยะเวลาการแจ้ง ภายหลัง </w:t>
      </w:r>
      <w:r w:rsidRPr="00586D86">
        <w:rPr>
          <w:rFonts w:ascii="Tahoma" w:hAnsi="Tahoma" w:cs="Tahoma"/>
          <w:noProof/>
          <w:sz w:val="20"/>
          <w:szCs w:val="20"/>
        </w:rPr>
        <w:t xml:space="preserve">24 </w:t>
      </w:r>
      <w:r w:rsidRPr="00586D86">
        <w:rPr>
          <w:rFonts w:ascii="Tahoma" w:hAnsi="Tahoma" w:cs="Tahoma"/>
          <w:noProof/>
          <w:sz w:val="20"/>
          <w:szCs w:val="20"/>
          <w:cs/>
        </w:rPr>
        <w:t>ชั่วโมง นับตั้งแต่เวลาตาย หรือเวลาพบศพ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60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ท้องที่ที่ตาย หรือ ที่ศพอยู่หรือมีการจัดการศพโดยการเก็บ ฝัง เผา หรือทำลาย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การตรวจสอบหลักฐาน สอบสวนพยานบุคคล พยานแวดล้อม และรวบรวมหลักฐาน พร้อมความเห็นให้ 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C1F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ผู้แจ้ง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C1F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ของผู้ตาย 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C1F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ที่ผู้ตายมีชื่ออยู่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หนังสือรับรองการตาย ตามแบบ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. 4/1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ที่ออกโดยสถานพยาบาล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8C1F8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กรณีที่คนตายเข้ารับการรักษาก่อนตาย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ผลตรวจสารพันธุกรรม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(DNA)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8C1F83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ที่สามารถบ่งบอกตัวบุคคลของผู้ตาย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1567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 สำนักบริหารการทะเบียน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1547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8C1F83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การรับแจ้งการตายเกินกำหนด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การรับแจ้งการตายเกินกำหนด 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04/09/2015 10:44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C1F83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B04DD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35BB6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F83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D57B97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AB128-D0EF-4568-8D45-02BFAC44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2016-07-11T08:41:00Z</dcterms:created>
  <dcterms:modified xsi:type="dcterms:W3CDTF">2016-07-11T08:41:00Z</dcterms:modified>
</cp:coreProperties>
</file>